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98A06" w14:textId="2264B4DC" w:rsidR="006605D9" w:rsidRPr="00CF1026" w:rsidRDefault="00790851">
      <w:r>
        <w:rPr>
          <w:i/>
          <w:iCs/>
        </w:rPr>
        <w:t>Margate Charter Trustees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Adopted:</w:t>
      </w:r>
      <w:r w:rsidR="00CF1026">
        <w:rPr>
          <w:i/>
          <w:iCs/>
        </w:rPr>
        <w:t xml:space="preserve">  </w:t>
      </w:r>
      <w:r w:rsidR="00CF1026">
        <w:t>30</w:t>
      </w:r>
      <w:r w:rsidR="00CF1026" w:rsidRPr="00CF1026">
        <w:rPr>
          <w:vertAlign w:val="superscript"/>
        </w:rPr>
        <w:t>th</w:t>
      </w:r>
      <w:r w:rsidR="00CF1026">
        <w:t xml:space="preserve"> November 2020</w:t>
      </w:r>
      <w:r w:rsidR="00CF1026">
        <w:tab/>
      </w:r>
    </w:p>
    <w:p w14:paraId="5BA4AF38" w14:textId="74D5562E" w:rsidR="00790851" w:rsidRDefault="00790851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>Investment Policy 2020/21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Version 1</w:t>
      </w:r>
    </w:p>
    <w:p w14:paraId="2014A0D6" w14:textId="039E779C" w:rsidR="00790851" w:rsidRDefault="00790851">
      <w:r>
        <w:rPr>
          <w:noProof/>
        </w:rPr>
        <w:drawing>
          <wp:anchor distT="0" distB="0" distL="114300" distR="114300" simplePos="0" relativeHeight="251658240" behindDoc="0" locked="0" layoutInCell="1" allowOverlap="1" wp14:anchorId="03971655" wp14:editId="715F4627">
            <wp:simplePos x="0" y="0"/>
            <wp:positionH relativeFrom="margin">
              <wp:align>center</wp:align>
            </wp:positionH>
            <wp:positionV relativeFrom="margin">
              <wp:posOffset>733425</wp:posOffset>
            </wp:positionV>
            <wp:extent cx="1249680" cy="1603248"/>
            <wp:effectExtent l="0" t="0" r="762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E77A0" w14:textId="6F1345FE" w:rsidR="00790851" w:rsidRDefault="00790851"/>
    <w:p w14:paraId="51711CFB" w14:textId="74084F1A" w:rsidR="00790851" w:rsidRDefault="00790851"/>
    <w:p w14:paraId="7DCF87B6" w14:textId="1D964748" w:rsidR="00790851" w:rsidRDefault="00790851"/>
    <w:p w14:paraId="293959DE" w14:textId="183962C8" w:rsidR="00790851" w:rsidRDefault="00790851"/>
    <w:p w14:paraId="6C8F50EB" w14:textId="51204566" w:rsidR="00790851" w:rsidRDefault="00790851"/>
    <w:p w14:paraId="5E1347F9" w14:textId="24BD0735" w:rsidR="00790851" w:rsidRDefault="00790851"/>
    <w:p w14:paraId="02CA3760" w14:textId="22BB1D6B" w:rsidR="00790851" w:rsidRDefault="00790851"/>
    <w:p w14:paraId="7F64468B" w14:textId="44F34DF0" w:rsidR="00790851" w:rsidRDefault="00790851"/>
    <w:p w14:paraId="4501CB60" w14:textId="34AB5BE2" w:rsidR="00790851" w:rsidRDefault="00790851" w:rsidP="0079085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Margate Charter Trustees</w:t>
      </w:r>
    </w:p>
    <w:p w14:paraId="2CF0CE5C" w14:textId="6830416D" w:rsidR="00790851" w:rsidRDefault="00790851" w:rsidP="0079085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Investment Policy 2020/21</w:t>
      </w:r>
    </w:p>
    <w:p w14:paraId="1E4AF3DA" w14:textId="3C79B256" w:rsidR="00790851" w:rsidRDefault="00790851" w:rsidP="0079085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3BB534D" w14:textId="4375A2BF" w:rsidR="00790851" w:rsidRDefault="00790851" w:rsidP="0079085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Contents:</w:t>
      </w:r>
    </w:p>
    <w:p w14:paraId="12F1516E" w14:textId="4D2B0CBF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Introduction</w:t>
      </w:r>
    </w:p>
    <w:p w14:paraId="00236B81" w14:textId="1FEA61A0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Investment Objectives</w:t>
      </w:r>
    </w:p>
    <w:p w14:paraId="7DAFF1CA" w14:textId="2D9BF78B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Specified Investments</w:t>
      </w:r>
    </w:p>
    <w:p w14:paraId="537448D1" w14:textId="709834D4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Non-Specified Investments</w:t>
      </w:r>
    </w:p>
    <w:p w14:paraId="1A2F91EB" w14:textId="2FD7FFFB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Liquidity of Investments</w:t>
      </w:r>
    </w:p>
    <w:p w14:paraId="0C840D10" w14:textId="19D8C6B0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Long Term Investments</w:t>
      </w:r>
    </w:p>
    <w:p w14:paraId="2C4B14D2" w14:textId="46D5590E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End of Year Investment Report</w:t>
      </w:r>
    </w:p>
    <w:p w14:paraId="01C64C5A" w14:textId="1ADC95B0" w:rsidR="00790851" w:rsidRDefault="00790851" w:rsidP="0079085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Review and Amendment of Regulations</w:t>
      </w:r>
    </w:p>
    <w:p w14:paraId="1B673A1C" w14:textId="70B85255" w:rsidR="00790851" w:rsidRDefault="00790851" w:rsidP="00790851">
      <w:pPr>
        <w:rPr>
          <w:rFonts w:ascii="Arial" w:hAnsi="Arial" w:cs="Arial"/>
          <w:sz w:val="36"/>
          <w:szCs w:val="36"/>
        </w:rPr>
      </w:pPr>
    </w:p>
    <w:p w14:paraId="6A3B8641" w14:textId="089A63BA" w:rsidR="00790851" w:rsidRDefault="00790851" w:rsidP="00790851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790851" w14:paraId="15EE1E98" w14:textId="77777777" w:rsidTr="00790851">
        <w:tc>
          <w:tcPr>
            <w:tcW w:w="2836" w:type="dxa"/>
          </w:tcPr>
          <w:p w14:paraId="2070F9CD" w14:textId="3E8D593B" w:rsidR="00790851" w:rsidRPr="00790851" w:rsidRDefault="00790851" w:rsidP="00790851">
            <w:pPr>
              <w:rPr>
                <w:rFonts w:ascii="Arial" w:hAnsi="Arial" w:cs="Arial"/>
                <w:sz w:val="28"/>
                <w:szCs w:val="28"/>
              </w:rPr>
            </w:pPr>
            <w:r w:rsidRPr="00790851">
              <w:rPr>
                <w:rFonts w:ascii="Arial" w:hAnsi="Arial" w:cs="Arial"/>
                <w:sz w:val="28"/>
                <w:szCs w:val="28"/>
              </w:rPr>
              <w:t>Date of Approval</w:t>
            </w:r>
          </w:p>
        </w:tc>
        <w:tc>
          <w:tcPr>
            <w:tcW w:w="7655" w:type="dxa"/>
          </w:tcPr>
          <w:p w14:paraId="292BF1F5" w14:textId="77777777" w:rsidR="00790851" w:rsidRPr="00790851" w:rsidRDefault="00790851" w:rsidP="007908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0851" w14:paraId="2527B2EC" w14:textId="77777777" w:rsidTr="00790851">
        <w:tc>
          <w:tcPr>
            <w:tcW w:w="2836" w:type="dxa"/>
          </w:tcPr>
          <w:p w14:paraId="6B1877D8" w14:textId="7D7B5C87" w:rsidR="00790851" w:rsidRPr="00790851" w:rsidRDefault="00790851" w:rsidP="00790851">
            <w:pPr>
              <w:rPr>
                <w:rFonts w:ascii="Arial" w:hAnsi="Arial" w:cs="Arial"/>
                <w:sz w:val="28"/>
                <w:szCs w:val="28"/>
              </w:rPr>
            </w:pPr>
            <w:r w:rsidRPr="00790851">
              <w:rPr>
                <w:rFonts w:ascii="Arial" w:hAnsi="Arial" w:cs="Arial"/>
                <w:sz w:val="28"/>
                <w:szCs w:val="28"/>
              </w:rPr>
              <w:t>Date of Review</w:t>
            </w:r>
          </w:p>
        </w:tc>
        <w:tc>
          <w:tcPr>
            <w:tcW w:w="7655" w:type="dxa"/>
          </w:tcPr>
          <w:p w14:paraId="24BA9660" w14:textId="3B5E566F" w:rsidR="00790851" w:rsidRPr="00790851" w:rsidRDefault="00790851" w:rsidP="00790851">
            <w:pPr>
              <w:rPr>
                <w:rFonts w:ascii="Arial" w:hAnsi="Arial" w:cs="Arial"/>
                <w:sz w:val="28"/>
                <w:szCs w:val="28"/>
              </w:rPr>
            </w:pPr>
            <w:r w:rsidRPr="00790851">
              <w:rPr>
                <w:rFonts w:ascii="Arial" w:hAnsi="Arial" w:cs="Arial"/>
                <w:sz w:val="28"/>
                <w:szCs w:val="28"/>
              </w:rPr>
              <w:t>It is due for review not later than</w:t>
            </w:r>
            <w:r>
              <w:rPr>
                <w:rFonts w:ascii="Arial" w:hAnsi="Arial" w:cs="Arial"/>
                <w:sz w:val="28"/>
                <w:szCs w:val="28"/>
              </w:rPr>
              <w:t xml:space="preserve"> 4 years from its last reveiw</w:t>
            </w:r>
          </w:p>
        </w:tc>
      </w:tr>
    </w:tbl>
    <w:p w14:paraId="25F09091" w14:textId="5B911BD9" w:rsidR="00790851" w:rsidRDefault="00790851" w:rsidP="00790851">
      <w:pPr>
        <w:rPr>
          <w:rFonts w:ascii="Arial" w:hAnsi="Arial" w:cs="Arial"/>
          <w:sz w:val="36"/>
          <w:szCs w:val="36"/>
        </w:rPr>
      </w:pPr>
    </w:p>
    <w:p w14:paraId="2D35EFB6" w14:textId="31461D1C" w:rsidR="000B5B5D" w:rsidRPr="00CF1026" w:rsidRDefault="000B5B5D" w:rsidP="000B5B5D">
      <w:r>
        <w:rPr>
          <w:i/>
          <w:iCs/>
        </w:rPr>
        <w:lastRenderedPageBreak/>
        <w:t>Margate Charter Trustees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Adopted:</w:t>
      </w:r>
      <w:r w:rsidR="00CF1026">
        <w:rPr>
          <w:i/>
          <w:iCs/>
        </w:rPr>
        <w:t xml:space="preserve"> </w:t>
      </w:r>
      <w:r w:rsidR="00CF1026">
        <w:t xml:space="preserve"> 30</w:t>
      </w:r>
      <w:r w:rsidR="00CF1026" w:rsidRPr="00CF1026">
        <w:rPr>
          <w:vertAlign w:val="superscript"/>
        </w:rPr>
        <w:t>th</w:t>
      </w:r>
      <w:r w:rsidR="00CF1026">
        <w:t xml:space="preserve"> November 2020</w:t>
      </w:r>
    </w:p>
    <w:p w14:paraId="0939D7B0" w14:textId="77777777" w:rsidR="000B5B5D" w:rsidRDefault="000B5B5D" w:rsidP="000B5B5D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>Investment Policy 2020/21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Version 1</w:t>
      </w:r>
    </w:p>
    <w:p w14:paraId="1F56D142" w14:textId="2833CE2A" w:rsidR="00150B6C" w:rsidRDefault="00150B6C" w:rsidP="00150B6C">
      <w:pPr>
        <w:pStyle w:val="ListParagraph"/>
        <w:ind w:left="142"/>
        <w:rPr>
          <w:rFonts w:ascii="Arial" w:hAnsi="Arial" w:cs="Arial"/>
          <w:sz w:val="28"/>
          <w:szCs w:val="28"/>
        </w:rPr>
      </w:pPr>
    </w:p>
    <w:p w14:paraId="6678F207" w14:textId="3FA3058C" w:rsidR="00150B6C" w:rsidRDefault="003D1BBA" w:rsidP="003D1BBA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Introduction</w:t>
      </w:r>
    </w:p>
    <w:p w14:paraId="6C18AD0A" w14:textId="7CCAB8C3" w:rsidR="003D1BBA" w:rsidRDefault="003D1BBA" w:rsidP="003D1BBA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081F0FB2" w14:textId="4DB62AB0" w:rsidR="00CF01DE" w:rsidRDefault="00CF01DE" w:rsidP="003D1BBA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</w:t>
      </w:r>
      <w:r>
        <w:rPr>
          <w:rFonts w:ascii="Arial" w:hAnsi="Arial" w:cs="Arial"/>
          <w:sz w:val="28"/>
          <w:szCs w:val="28"/>
        </w:rPr>
        <w:tab/>
        <w:t xml:space="preserve">Margate Charter Trustees acknowledges the importance of </w:t>
      </w:r>
    </w:p>
    <w:p w14:paraId="609070E9" w14:textId="4E2E8074" w:rsidR="00CF01DE" w:rsidRDefault="00CF01DE" w:rsidP="003D1BBA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A1C44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rudently</w:t>
      </w:r>
      <w:r w:rsidR="00DA1C44">
        <w:rPr>
          <w:rFonts w:ascii="Arial" w:hAnsi="Arial" w:cs="Arial"/>
          <w:sz w:val="28"/>
          <w:szCs w:val="28"/>
        </w:rPr>
        <w:t xml:space="preserve"> investing its temporarily held surplus funds on behalf of </w:t>
      </w:r>
    </w:p>
    <w:p w14:paraId="11265B0E" w14:textId="6591312F" w:rsidR="00DA1C44" w:rsidRDefault="00DA1C44" w:rsidP="003D1BBA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 community.</w:t>
      </w:r>
    </w:p>
    <w:p w14:paraId="0E18C28D" w14:textId="66EC52F8" w:rsidR="004353A0" w:rsidRDefault="004353A0" w:rsidP="003D1BBA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1337D355" w14:textId="5B2DA67E" w:rsidR="004353A0" w:rsidRDefault="004353A0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</w:t>
      </w:r>
      <w:r>
        <w:rPr>
          <w:rFonts w:ascii="Arial" w:hAnsi="Arial" w:cs="Arial"/>
          <w:sz w:val="28"/>
          <w:szCs w:val="28"/>
        </w:rPr>
        <w:tab/>
      </w:r>
      <w:r w:rsidR="00A87864">
        <w:rPr>
          <w:rFonts w:ascii="Arial" w:hAnsi="Arial" w:cs="Arial"/>
          <w:sz w:val="28"/>
          <w:szCs w:val="28"/>
        </w:rPr>
        <w:t>This St</w:t>
      </w:r>
      <w:r w:rsidR="00E005DC">
        <w:rPr>
          <w:rFonts w:ascii="Arial" w:hAnsi="Arial" w:cs="Arial"/>
          <w:sz w:val="28"/>
          <w:szCs w:val="28"/>
        </w:rPr>
        <w:t>rategy complies with the revised requirements set out in the Office</w:t>
      </w:r>
      <w:r>
        <w:rPr>
          <w:rFonts w:ascii="Arial" w:hAnsi="Arial" w:cs="Arial"/>
          <w:sz w:val="28"/>
          <w:szCs w:val="28"/>
        </w:rPr>
        <w:t xml:space="preserve"> </w:t>
      </w:r>
      <w:r w:rsidR="00E005DC">
        <w:rPr>
          <w:rFonts w:ascii="Arial" w:hAnsi="Arial" w:cs="Arial"/>
          <w:sz w:val="28"/>
          <w:szCs w:val="28"/>
        </w:rPr>
        <w:t xml:space="preserve">of the Deputy Prime Minister’s Guidance on Local Government </w:t>
      </w:r>
      <w:r w:rsidR="0052646C">
        <w:rPr>
          <w:rFonts w:ascii="Arial" w:hAnsi="Arial" w:cs="Arial"/>
          <w:sz w:val="28"/>
          <w:szCs w:val="28"/>
        </w:rPr>
        <w:t>Investments and Chartered Institute of Public Finance and Accountancy’s Treasury Management</w:t>
      </w:r>
      <w:r w:rsidR="005617F6">
        <w:rPr>
          <w:rFonts w:ascii="Arial" w:hAnsi="Arial" w:cs="Arial"/>
          <w:sz w:val="28"/>
          <w:szCs w:val="28"/>
        </w:rPr>
        <w:t xml:space="preserve"> in Public Services; Code of Practice and Cross Sectoral Guidance Notes and takes into </w:t>
      </w:r>
      <w:r w:rsidR="009B422D">
        <w:rPr>
          <w:rFonts w:ascii="Arial" w:hAnsi="Arial" w:cs="Arial"/>
          <w:sz w:val="28"/>
          <w:szCs w:val="28"/>
        </w:rPr>
        <w:t>account of the Section 15(1) of the Local Government Act 2003 and best practice from the National Association of Local Councils and CIPFA.</w:t>
      </w:r>
    </w:p>
    <w:p w14:paraId="0159039F" w14:textId="49A059A7" w:rsidR="00F02F96" w:rsidRDefault="00F02F96" w:rsidP="00E005DC">
      <w:pPr>
        <w:pStyle w:val="ListParagraph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279C25EC" w14:textId="12DBB126" w:rsidR="00F02F96" w:rsidRDefault="00F02F96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</w:rPr>
        <w:tab/>
        <w:t>investment Objectives</w:t>
      </w:r>
    </w:p>
    <w:p w14:paraId="1127BD00" w14:textId="3C8A5356" w:rsidR="00F02F96" w:rsidRDefault="00F02F96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21ABD5C6" w14:textId="47744E09" w:rsidR="00F02F96" w:rsidRDefault="00F02F96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</w:t>
      </w:r>
      <w:r>
        <w:rPr>
          <w:rFonts w:ascii="Arial" w:hAnsi="Arial" w:cs="Arial"/>
          <w:sz w:val="28"/>
          <w:szCs w:val="28"/>
        </w:rPr>
        <w:tab/>
      </w:r>
      <w:r w:rsidR="00865334">
        <w:rPr>
          <w:rFonts w:ascii="Arial" w:hAnsi="Arial" w:cs="Arial"/>
          <w:sz w:val="28"/>
          <w:szCs w:val="28"/>
        </w:rPr>
        <w:t>In accordance with Section 15(1) of the 2003 Act, the Charter Trustees will have regard to (a) such guidance as the Secretary of State</w:t>
      </w:r>
      <w:r w:rsidR="00D4792E">
        <w:rPr>
          <w:rFonts w:ascii="Arial" w:hAnsi="Arial" w:cs="Arial"/>
          <w:sz w:val="28"/>
          <w:szCs w:val="28"/>
        </w:rPr>
        <w:t xml:space="preserve"> may issue, and (b) to such other guidance as the Secretary of State may by regulations specify.</w:t>
      </w:r>
    </w:p>
    <w:p w14:paraId="53E28E21" w14:textId="3573602E" w:rsidR="00E75118" w:rsidRDefault="00E75118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263D9689" w14:textId="72BA1113" w:rsidR="00E75118" w:rsidRDefault="00E75118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</w:t>
      </w:r>
      <w:r>
        <w:rPr>
          <w:rFonts w:ascii="Arial" w:hAnsi="Arial" w:cs="Arial"/>
          <w:sz w:val="28"/>
          <w:szCs w:val="28"/>
        </w:rPr>
        <w:tab/>
        <w:t xml:space="preserve">The Charter Trustee’s investment priorities </w:t>
      </w:r>
      <w:r w:rsidR="00150A41">
        <w:rPr>
          <w:rFonts w:ascii="Arial" w:hAnsi="Arial" w:cs="Arial"/>
          <w:sz w:val="28"/>
          <w:szCs w:val="28"/>
        </w:rPr>
        <w:t xml:space="preserve">are the security of reserves </w:t>
      </w:r>
      <w:r w:rsidR="007108CC">
        <w:rPr>
          <w:rFonts w:ascii="Arial" w:hAnsi="Arial" w:cs="Arial"/>
          <w:sz w:val="28"/>
          <w:szCs w:val="28"/>
        </w:rPr>
        <w:t>whilst also providing sufficient</w:t>
      </w:r>
      <w:r w:rsidR="00150A41">
        <w:rPr>
          <w:rFonts w:ascii="Arial" w:hAnsi="Arial" w:cs="Arial"/>
          <w:sz w:val="28"/>
          <w:szCs w:val="28"/>
        </w:rPr>
        <w:t xml:space="preserve"> liquidity </w:t>
      </w:r>
      <w:r w:rsidR="00F274AA">
        <w:rPr>
          <w:rFonts w:ascii="Arial" w:hAnsi="Arial" w:cs="Arial"/>
          <w:sz w:val="28"/>
          <w:szCs w:val="28"/>
        </w:rPr>
        <w:t>and profit</w:t>
      </w:r>
    </w:p>
    <w:p w14:paraId="6D5FF7BF" w14:textId="15B05173" w:rsidR="00150A41" w:rsidRDefault="00150A41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28317462" w14:textId="210B63F8" w:rsidR="00150A41" w:rsidRDefault="00150A41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</w:t>
      </w:r>
      <w:r>
        <w:rPr>
          <w:rFonts w:ascii="Arial" w:hAnsi="Arial" w:cs="Arial"/>
          <w:sz w:val="28"/>
          <w:szCs w:val="28"/>
        </w:rPr>
        <w:tab/>
      </w:r>
      <w:r w:rsidR="007108CC">
        <w:rPr>
          <w:rFonts w:ascii="Arial" w:hAnsi="Arial" w:cs="Arial"/>
          <w:sz w:val="28"/>
          <w:szCs w:val="28"/>
        </w:rPr>
        <w:t>All investments will be in sterling</w:t>
      </w:r>
      <w:r w:rsidR="00131AB2">
        <w:rPr>
          <w:rFonts w:ascii="Arial" w:hAnsi="Arial" w:cs="Arial"/>
          <w:sz w:val="28"/>
          <w:szCs w:val="28"/>
        </w:rPr>
        <w:t>, using only deposit or bond accounts covered by the Financial Services Compensation Scheme and sums invested will be kept within the sum guaranteed by the FSCS.</w:t>
      </w:r>
    </w:p>
    <w:p w14:paraId="4D06E19B" w14:textId="1C09E036" w:rsidR="00131AB2" w:rsidRDefault="00131AB2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41EB367B" w14:textId="6CA75CD4" w:rsidR="00131AB2" w:rsidRDefault="00131AB2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2.4</w:t>
      </w:r>
      <w:r>
        <w:rPr>
          <w:rFonts w:ascii="Arial" w:hAnsi="Arial" w:cs="Arial"/>
          <w:sz w:val="28"/>
          <w:szCs w:val="28"/>
        </w:rPr>
        <w:tab/>
      </w:r>
      <w:r w:rsidR="00767232">
        <w:rPr>
          <w:rFonts w:ascii="Arial" w:hAnsi="Arial" w:cs="Arial"/>
          <w:sz w:val="28"/>
          <w:szCs w:val="28"/>
        </w:rPr>
        <w:t>The Department for Communities and Local Government</w:t>
      </w:r>
      <w:r w:rsidR="00026F24">
        <w:rPr>
          <w:rFonts w:ascii="Arial" w:hAnsi="Arial" w:cs="Arial"/>
          <w:sz w:val="28"/>
          <w:szCs w:val="28"/>
        </w:rPr>
        <w:t xml:space="preserve"> maintains that borrowing of monies purely to invest, or to lend and make a return, is unlawful and the Margate Charter Trustees</w:t>
      </w:r>
      <w:r w:rsidR="00824394">
        <w:rPr>
          <w:rFonts w:ascii="Arial" w:hAnsi="Arial" w:cs="Arial"/>
          <w:sz w:val="28"/>
          <w:szCs w:val="28"/>
        </w:rPr>
        <w:t xml:space="preserve"> will not engage in such activity. </w:t>
      </w:r>
    </w:p>
    <w:p w14:paraId="6BA12527" w14:textId="77777777" w:rsidR="00BC238F" w:rsidRDefault="00BC238F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61EA1F44" w14:textId="6DBE5D59" w:rsidR="00516E77" w:rsidRDefault="00516E77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54F2B2A9" w14:textId="5F0875B5" w:rsidR="00BC238F" w:rsidRPr="00CF1026" w:rsidRDefault="00BC238F" w:rsidP="00BC238F">
      <w:r>
        <w:rPr>
          <w:i/>
          <w:iCs/>
        </w:rPr>
        <w:lastRenderedPageBreak/>
        <w:t>Margate Charter Trustees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Adopted:</w:t>
      </w:r>
      <w:r w:rsidR="00CF1026">
        <w:rPr>
          <w:i/>
          <w:iCs/>
        </w:rPr>
        <w:t xml:space="preserve"> </w:t>
      </w:r>
      <w:r w:rsidR="00CF1026">
        <w:t>30</w:t>
      </w:r>
      <w:r w:rsidR="00CF1026" w:rsidRPr="00CF1026">
        <w:rPr>
          <w:vertAlign w:val="superscript"/>
        </w:rPr>
        <w:t>th</w:t>
      </w:r>
      <w:r w:rsidR="00CF1026">
        <w:t xml:space="preserve"> November 2020</w:t>
      </w:r>
    </w:p>
    <w:p w14:paraId="7DBCE518" w14:textId="77777777" w:rsidR="00BC238F" w:rsidRDefault="00BC238F" w:rsidP="00BC238F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>Investment Policy 2020/21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Version 1</w:t>
      </w:r>
    </w:p>
    <w:p w14:paraId="52ADB28B" w14:textId="77777777" w:rsidR="00BC238F" w:rsidRDefault="00BC238F" w:rsidP="00BC238F">
      <w:pPr>
        <w:pStyle w:val="ListParagraph"/>
        <w:ind w:left="142"/>
        <w:rPr>
          <w:rFonts w:ascii="Arial" w:hAnsi="Arial" w:cs="Arial"/>
          <w:sz w:val="28"/>
          <w:szCs w:val="28"/>
        </w:rPr>
      </w:pPr>
    </w:p>
    <w:p w14:paraId="3B1023E1" w14:textId="16FBBBCD" w:rsidR="00516E77" w:rsidRDefault="00516E77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2.6</w:t>
      </w:r>
      <w:r>
        <w:rPr>
          <w:rFonts w:ascii="Arial" w:hAnsi="Arial" w:cs="Arial"/>
          <w:sz w:val="28"/>
          <w:szCs w:val="28"/>
        </w:rPr>
        <w:tab/>
        <w:t>Where external investment managers are used, they will be contractually required to comply with the Strategy</w:t>
      </w:r>
    </w:p>
    <w:p w14:paraId="52606E5B" w14:textId="58766C74" w:rsidR="0092684D" w:rsidRDefault="0092684D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522B7E59" w14:textId="25A59089" w:rsidR="0092684D" w:rsidRDefault="0092684D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2.7</w:t>
      </w:r>
      <w:r>
        <w:rPr>
          <w:rFonts w:ascii="Arial" w:hAnsi="Arial" w:cs="Arial"/>
          <w:sz w:val="28"/>
          <w:szCs w:val="28"/>
        </w:rPr>
        <w:tab/>
      </w:r>
      <w:r w:rsidR="00870159">
        <w:rPr>
          <w:rFonts w:ascii="Arial" w:hAnsi="Arial" w:cs="Arial"/>
          <w:sz w:val="28"/>
          <w:szCs w:val="28"/>
        </w:rPr>
        <w:t>The Margate Charter Trustees will consider credit ratings as part of its credit risk management</w:t>
      </w:r>
      <w:r w:rsidR="009E7A9A">
        <w:rPr>
          <w:rFonts w:ascii="Arial" w:hAnsi="Arial" w:cs="Arial"/>
          <w:sz w:val="28"/>
          <w:szCs w:val="28"/>
        </w:rPr>
        <w:t xml:space="preserve"> process. These ratings to be reviewed  periodically.</w:t>
      </w:r>
    </w:p>
    <w:p w14:paraId="5BA6AB3D" w14:textId="24042A57" w:rsidR="009E7A9A" w:rsidRDefault="009E7A9A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11D2BFE2" w14:textId="77777777" w:rsidR="0062115B" w:rsidRDefault="0062115B" w:rsidP="00E005DC">
      <w:pPr>
        <w:pStyle w:val="ListParagraph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ab/>
        <w:t>Specified Investments</w:t>
      </w:r>
    </w:p>
    <w:p w14:paraId="7E617D27" w14:textId="77777777" w:rsidR="0062115B" w:rsidRDefault="0062115B" w:rsidP="00E005DC">
      <w:pPr>
        <w:pStyle w:val="ListParagraph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374B27FD" w14:textId="77777777" w:rsidR="00D3719A" w:rsidRDefault="0062115B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</w:t>
      </w:r>
      <w:r>
        <w:rPr>
          <w:rFonts w:ascii="Arial" w:hAnsi="Arial" w:cs="Arial"/>
          <w:sz w:val="28"/>
          <w:szCs w:val="28"/>
        </w:rPr>
        <w:tab/>
      </w:r>
      <w:r w:rsidR="005D7B08">
        <w:rPr>
          <w:rFonts w:ascii="Arial" w:hAnsi="Arial" w:cs="Arial"/>
          <w:sz w:val="28"/>
          <w:szCs w:val="28"/>
        </w:rPr>
        <w:t>Specified investments are those offering high security and high liquidity, made in sterling and with a maturing of no more than a year. Such short-term investments</w:t>
      </w:r>
      <w:r w:rsidR="00D3719A">
        <w:rPr>
          <w:rFonts w:ascii="Arial" w:hAnsi="Arial" w:cs="Arial"/>
          <w:sz w:val="28"/>
          <w:szCs w:val="28"/>
        </w:rPr>
        <w:t xml:space="preserve"> made with the UK Government or a local authority or town or parish council will automatically be Specified Investments.</w:t>
      </w:r>
    </w:p>
    <w:p w14:paraId="047E6BBF" w14:textId="77777777" w:rsidR="00D3719A" w:rsidRDefault="00D3719A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</w:p>
    <w:p w14:paraId="686B912B" w14:textId="77777777" w:rsidR="00EB1C72" w:rsidRDefault="00D3719A" w:rsidP="00E005DC">
      <w:pPr>
        <w:pStyle w:val="ListParagraph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</w:t>
      </w:r>
      <w:r>
        <w:rPr>
          <w:rFonts w:ascii="Arial" w:hAnsi="Arial" w:cs="Arial"/>
          <w:sz w:val="28"/>
          <w:szCs w:val="28"/>
        </w:rPr>
        <w:tab/>
      </w:r>
      <w:r w:rsidR="000E0783">
        <w:rPr>
          <w:rFonts w:ascii="Arial" w:hAnsi="Arial" w:cs="Arial"/>
          <w:sz w:val="28"/>
          <w:szCs w:val="28"/>
        </w:rPr>
        <w:t>For the prudent management of its treasury balances, maintaining sufficient levels of security and liquidity, the Margate Charter Trustees will use:</w:t>
      </w:r>
    </w:p>
    <w:p w14:paraId="4ED903A7" w14:textId="74C40319" w:rsidR="009E7A9A" w:rsidRDefault="00EB1C72" w:rsidP="00EB1C7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Deposits with UK banks and building societies that are authorised and regulated</w:t>
      </w:r>
      <w:r w:rsidR="001E3F8A">
        <w:rPr>
          <w:rFonts w:ascii="Arial" w:hAnsi="Arial" w:cs="Arial"/>
          <w:sz w:val="28"/>
          <w:szCs w:val="28"/>
        </w:rPr>
        <w:t xml:space="preserve"> by the Prudential Regulation Authority (PRA), or local authori</w:t>
      </w:r>
      <w:r w:rsidR="00E32029">
        <w:rPr>
          <w:rFonts w:ascii="Arial" w:hAnsi="Arial" w:cs="Arial"/>
          <w:sz w:val="28"/>
          <w:szCs w:val="28"/>
        </w:rPr>
        <w:t>ties or other public authorities that are managed through HM Treasurer’s UK Debt Management Offic</w:t>
      </w:r>
      <w:r w:rsidR="006A0ACF">
        <w:rPr>
          <w:rFonts w:ascii="Arial" w:hAnsi="Arial" w:cs="Arial"/>
          <w:sz w:val="28"/>
          <w:szCs w:val="28"/>
        </w:rPr>
        <w:t>e, and are</w:t>
      </w:r>
    </w:p>
    <w:p w14:paraId="1EB7D1CA" w14:textId="340CBBC0" w:rsidR="006A0ACF" w:rsidRDefault="006A0ACF" w:rsidP="00EB1C7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Guaranteed by the Financial Services Compensation Scheme (FSCS) with funds deposited being kept within the specified guaranteed sum (currently </w:t>
      </w:r>
      <w:r w:rsidR="00795CA1">
        <w:rPr>
          <w:rFonts w:ascii="Arial" w:hAnsi="Arial" w:cs="Arial"/>
          <w:sz w:val="28"/>
          <w:szCs w:val="28"/>
        </w:rPr>
        <w:t>£85</w:t>
      </w:r>
      <w:r w:rsidR="00573C73">
        <w:rPr>
          <w:rFonts w:ascii="Arial" w:hAnsi="Arial" w:cs="Arial"/>
          <w:sz w:val="28"/>
          <w:szCs w:val="28"/>
        </w:rPr>
        <w:t>,000)</w:t>
      </w:r>
    </w:p>
    <w:p w14:paraId="678B73B0" w14:textId="77777777" w:rsidR="002F14BC" w:rsidRDefault="002F14BC" w:rsidP="002F14BC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5CBDE898" w14:textId="6BE216F4" w:rsidR="00573C73" w:rsidRDefault="00573C73" w:rsidP="00573C7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z w:val="28"/>
          <w:szCs w:val="28"/>
        </w:rPr>
        <w:tab/>
        <w:t>Non-Specified Investments</w:t>
      </w:r>
    </w:p>
    <w:p w14:paraId="5B977DAF" w14:textId="5495107B" w:rsidR="002F14BC" w:rsidRDefault="002F14BC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</w:t>
      </w:r>
      <w:r>
        <w:rPr>
          <w:rFonts w:ascii="Arial" w:hAnsi="Arial" w:cs="Arial"/>
          <w:sz w:val="28"/>
          <w:szCs w:val="28"/>
        </w:rPr>
        <w:tab/>
        <w:t>These investments have greater potential risk – exam</w:t>
      </w:r>
      <w:r w:rsidR="00D7109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les include in</w:t>
      </w:r>
      <w:r w:rsidR="00D71093">
        <w:rPr>
          <w:rFonts w:ascii="Arial" w:hAnsi="Arial" w:cs="Arial"/>
          <w:sz w:val="28"/>
          <w:szCs w:val="28"/>
        </w:rPr>
        <w:t xml:space="preserve"> the money market, stocks and shares.</w:t>
      </w:r>
    </w:p>
    <w:p w14:paraId="10534BA2" w14:textId="042EC520" w:rsidR="00200868" w:rsidRDefault="00D71093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4.2</w:t>
      </w:r>
      <w:r w:rsidR="00530140">
        <w:rPr>
          <w:rFonts w:ascii="Arial" w:hAnsi="Arial" w:cs="Arial"/>
          <w:sz w:val="28"/>
          <w:szCs w:val="28"/>
        </w:rPr>
        <w:tab/>
        <w:t>Given the unpredictability and uncertainties surrounding such investments, the Margate Charter Trustees</w:t>
      </w:r>
      <w:r w:rsidR="00200868">
        <w:rPr>
          <w:rFonts w:ascii="Arial" w:hAnsi="Arial" w:cs="Arial"/>
          <w:sz w:val="28"/>
          <w:szCs w:val="28"/>
        </w:rPr>
        <w:t xml:space="preserve"> will not use this type of investment.</w:t>
      </w:r>
    </w:p>
    <w:p w14:paraId="114D1559" w14:textId="5538BE10" w:rsidR="00805F95" w:rsidRDefault="00805F95" w:rsidP="00D71093">
      <w:pPr>
        <w:ind w:left="720" w:hanging="720"/>
        <w:rPr>
          <w:rFonts w:ascii="Arial" w:hAnsi="Arial" w:cs="Arial"/>
          <w:sz w:val="28"/>
          <w:szCs w:val="28"/>
        </w:rPr>
      </w:pPr>
    </w:p>
    <w:p w14:paraId="598034B3" w14:textId="56D210E0" w:rsidR="00BC238F" w:rsidRPr="00CF1026" w:rsidRDefault="00BC238F" w:rsidP="00BC238F">
      <w:r>
        <w:rPr>
          <w:i/>
          <w:iCs/>
        </w:rPr>
        <w:lastRenderedPageBreak/>
        <w:t>Margate Charter Trustees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Adopted:</w:t>
      </w:r>
      <w:r w:rsidR="00CF1026">
        <w:rPr>
          <w:i/>
          <w:iCs/>
        </w:rPr>
        <w:t xml:space="preserve"> </w:t>
      </w:r>
      <w:r w:rsidR="00CF1026">
        <w:t>30</w:t>
      </w:r>
      <w:r w:rsidR="00CF1026" w:rsidRPr="00CF1026">
        <w:rPr>
          <w:vertAlign w:val="superscript"/>
        </w:rPr>
        <w:t>th</w:t>
      </w:r>
      <w:r w:rsidR="00CF1026">
        <w:t xml:space="preserve"> November 2020</w:t>
      </w:r>
    </w:p>
    <w:p w14:paraId="26729D4E" w14:textId="77777777" w:rsidR="00BC238F" w:rsidRDefault="00BC238F" w:rsidP="00BC238F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>Investment Policy 2020/21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Version 1</w:t>
      </w:r>
    </w:p>
    <w:p w14:paraId="7D822790" w14:textId="77777777" w:rsidR="00BC238F" w:rsidRDefault="00BC238F" w:rsidP="00D71093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254717AD" w14:textId="5F027CFF" w:rsidR="00805F95" w:rsidRDefault="00200868" w:rsidP="00D71093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ab/>
        <w:t>Liquidity of Investments</w:t>
      </w:r>
    </w:p>
    <w:p w14:paraId="4E4F0845" w14:textId="57E9D18C" w:rsidR="0056045E" w:rsidRDefault="00805F95" w:rsidP="0056045E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5.1</w:t>
      </w:r>
      <w:r>
        <w:rPr>
          <w:rFonts w:ascii="Arial" w:hAnsi="Arial" w:cs="Arial"/>
          <w:sz w:val="28"/>
          <w:szCs w:val="28"/>
        </w:rPr>
        <w:tab/>
      </w:r>
      <w:r w:rsidR="00476079">
        <w:rPr>
          <w:rFonts w:ascii="Arial" w:hAnsi="Arial" w:cs="Arial"/>
          <w:sz w:val="28"/>
          <w:szCs w:val="28"/>
        </w:rPr>
        <w:t>The Margate Charter Trustees, following advice from the Responsible Finance Offic</w:t>
      </w:r>
      <w:r w:rsidR="00A71F52">
        <w:rPr>
          <w:rFonts w:ascii="Arial" w:hAnsi="Arial" w:cs="Arial"/>
          <w:sz w:val="28"/>
          <w:szCs w:val="28"/>
        </w:rPr>
        <w:t>er, will determine the maximum periods for which funds may prudently</w:t>
      </w:r>
      <w:r w:rsidR="00C824EC">
        <w:rPr>
          <w:rFonts w:ascii="Arial" w:hAnsi="Arial" w:cs="Arial"/>
          <w:sz w:val="28"/>
          <w:szCs w:val="28"/>
        </w:rPr>
        <w:t xml:space="preserve"> be committed so as not to compromise liquidity</w:t>
      </w:r>
      <w:r w:rsidR="004D1BD0">
        <w:rPr>
          <w:rFonts w:ascii="Arial" w:hAnsi="Arial" w:cs="Arial"/>
          <w:sz w:val="28"/>
          <w:szCs w:val="28"/>
        </w:rPr>
        <w:t>.</w:t>
      </w:r>
    </w:p>
    <w:p w14:paraId="01F9B2C0" w14:textId="5597D4F6" w:rsidR="0056045E" w:rsidRDefault="0056045E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b/>
          <w:bCs/>
          <w:sz w:val="28"/>
          <w:szCs w:val="28"/>
        </w:rPr>
        <w:tab/>
        <w:t>Long-Term Investments</w:t>
      </w:r>
    </w:p>
    <w:p w14:paraId="5B65DBFA" w14:textId="0C82C99A" w:rsidR="004D1BD0" w:rsidRDefault="00D258A5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6.1</w:t>
      </w:r>
      <w:r>
        <w:rPr>
          <w:rFonts w:ascii="Arial" w:hAnsi="Arial" w:cs="Arial"/>
          <w:sz w:val="28"/>
          <w:szCs w:val="28"/>
        </w:rPr>
        <w:tab/>
        <w:t>Long-term investments are considered by the Margate Charter Trustees</w:t>
      </w:r>
      <w:r w:rsidR="00E51029">
        <w:rPr>
          <w:rFonts w:ascii="Arial" w:hAnsi="Arial" w:cs="Arial"/>
          <w:sz w:val="28"/>
          <w:szCs w:val="28"/>
        </w:rPr>
        <w:t xml:space="preserve"> as any investment other than (a) one that is due to be repaid within 12 months of the date on which the investment was made, and (b)</w:t>
      </w:r>
      <w:r w:rsidR="00B6456D">
        <w:rPr>
          <w:rFonts w:ascii="Arial" w:hAnsi="Arial" w:cs="Arial"/>
          <w:sz w:val="28"/>
          <w:szCs w:val="28"/>
        </w:rPr>
        <w:t xml:space="preserve"> one which the local authority may be required to be repaid within that period.</w:t>
      </w:r>
    </w:p>
    <w:p w14:paraId="5B9AD108" w14:textId="59B3435C" w:rsidR="00533A21" w:rsidRPr="004D1BD0" w:rsidRDefault="00E55B8A" w:rsidP="00533A21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6.2</w:t>
      </w:r>
      <w:r w:rsidR="00533A21">
        <w:rPr>
          <w:rFonts w:ascii="Arial" w:hAnsi="Arial" w:cs="Arial"/>
          <w:sz w:val="28"/>
          <w:szCs w:val="28"/>
        </w:rPr>
        <w:tab/>
        <w:t>No long-term investments (12 months or longer) are envisaged during the financial year 2023/21</w:t>
      </w:r>
    </w:p>
    <w:p w14:paraId="26D9F7E3" w14:textId="3B253DC3" w:rsidR="001D0093" w:rsidRDefault="00E55B8A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6.3</w:t>
      </w:r>
      <w:r w:rsidR="001D0093">
        <w:rPr>
          <w:rFonts w:ascii="Arial" w:hAnsi="Arial" w:cs="Arial"/>
          <w:sz w:val="28"/>
          <w:szCs w:val="28"/>
        </w:rPr>
        <w:tab/>
        <w:t>The Margate Charter Trustees do not currently hold any long-term investments.</w:t>
      </w:r>
    </w:p>
    <w:p w14:paraId="1EBF2D98" w14:textId="4FC203C6" w:rsidR="006D4214" w:rsidRDefault="006D4214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6.4</w:t>
      </w:r>
      <w:r>
        <w:rPr>
          <w:rFonts w:ascii="Arial" w:hAnsi="Arial" w:cs="Arial"/>
          <w:sz w:val="28"/>
          <w:szCs w:val="28"/>
        </w:rPr>
        <w:tab/>
        <w:t xml:space="preserve">When investing in corporate bonds and/or government bonds the credit rating alone is nor sufficient to make an investment </w:t>
      </w:r>
      <w:r w:rsidR="002E0538">
        <w:rPr>
          <w:rFonts w:ascii="Arial" w:hAnsi="Arial" w:cs="Arial"/>
          <w:sz w:val="28"/>
          <w:szCs w:val="28"/>
        </w:rPr>
        <w:t>it needs to be reviewed withing the context if the wider financial economic information available and advice.</w:t>
      </w:r>
    </w:p>
    <w:p w14:paraId="61179FFD" w14:textId="62619DAD" w:rsidR="00340F8A" w:rsidRDefault="00340F8A" w:rsidP="00D71093">
      <w:pPr>
        <w:ind w:left="720" w:hanging="720"/>
        <w:rPr>
          <w:rFonts w:ascii="Arial" w:hAnsi="Arial" w:cs="Arial"/>
          <w:sz w:val="28"/>
          <w:szCs w:val="28"/>
        </w:rPr>
      </w:pPr>
    </w:p>
    <w:p w14:paraId="55EADDD9" w14:textId="6ABD9676" w:rsidR="00340F8A" w:rsidRDefault="00340F8A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b/>
          <w:bCs/>
          <w:sz w:val="28"/>
          <w:szCs w:val="28"/>
        </w:rPr>
        <w:tab/>
        <w:t>End of Year Investment Report</w:t>
      </w:r>
    </w:p>
    <w:p w14:paraId="06421BB1" w14:textId="312CFB37" w:rsidR="00340F8A" w:rsidRDefault="00340F8A" w:rsidP="00D71093">
      <w:pPr>
        <w:ind w:left="720" w:hanging="720"/>
        <w:rPr>
          <w:rFonts w:ascii="Arial" w:hAnsi="Arial" w:cs="Arial"/>
          <w:sz w:val="28"/>
          <w:szCs w:val="28"/>
        </w:rPr>
      </w:pPr>
    </w:p>
    <w:p w14:paraId="25AE4360" w14:textId="0940A1BC" w:rsidR="00340F8A" w:rsidRDefault="00340F8A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7.1</w:t>
      </w:r>
      <w:r>
        <w:rPr>
          <w:rFonts w:ascii="Arial" w:hAnsi="Arial" w:cs="Arial"/>
          <w:sz w:val="28"/>
          <w:szCs w:val="28"/>
        </w:rPr>
        <w:tab/>
        <w:t xml:space="preserve">Investment </w:t>
      </w:r>
      <w:r w:rsidR="001C6175">
        <w:rPr>
          <w:rFonts w:ascii="Arial" w:hAnsi="Arial" w:cs="Arial"/>
          <w:sz w:val="28"/>
          <w:szCs w:val="28"/>
        </w:rPr>
        <w:t>performance will be circulated once a quarter to the full body of the Margate Charter Trustees.</w:t>
      </w:r>
    </w:p>
    <w:p w14:paraId="0922BE86" w14:textId="075909E4" w:rsidR="00BC238F" w:rsidRDefault="00446C32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7.2</w:t>
      </w:r>
      <w:r>
        <w:rPr>
          <w:rFonts w:ascii="Arial" w:hAnsi="Arial" w:cs="Arial"/>
          <w:sz w:val="28"/>
          <w:szCs w:val="28"/>
        </w:rPr>
        <w:tab/>
        <w:t xml:space="preserve">Investment forecasts for the coming financial year </w:t>
      </w:r>
      <w:r w:rsidR="00230F8F">
        <w:rPr>
          <w:rFonts w:ascii="Arial" w:hAnsi="Arial" w:cs="Arial"/>
          <w:sz w:val="28"/>
          <w:szCs w:val="28"/>
        </w:rPr>
        <w:t xml:space="preserve">will be accounted for when the budget is passed. At the end of the financial year, the RFO will report on investment activity to the </w:t>
      </w:r>
    </w:p>
    <w:p w14:paraId="7DDD20E7" w14:textId="27443D26" w:rsidR="00BC238F" w:rsidRDefault="00BC238F" w:rsidP="00D71093">
      <w:pPr>
        <w:ind w:left="720" w:hanging="720"/>
        <w:rPr>
          <w:rFonts w:ascii="Arial" w:hAnsi="Arial" w:cs="Arial"/>
          <w:sz w:val="28"/>
          <w:szCs w:val="28"/>
        </w:rPr>
      </w:pPr>
    </w:p>
    <w:p w14:paraId="7FEA9EC3" w14:textId="77777777" w:rsidR="00BC238F" w:rsidRDefault="00BC238F" w:rsidP="00D71093">
      <w:pPr>
        <w:ind w:left="720" w:hanging="720"/>
        <w:rPr>
          <w:rFonts w:ascii="Arial" w:hAnsi="Arial" w:cs="Arial"/>
          <w:sz w:val="28"/>
          <w:szCs w:val="28"/>
        </w:rPr>
      </w:pPr>
    </w:p>
    <w:p w14:paraId="14F3E29D" w14:textId="3427FEE9" w:rsidR="00BC238F" w:rsidRPr="00CF1026" w:rsidRDefault="00BC238F" w:rsidP="00BC238F">
      <w:r>
        <w:rPr>
          <w:i/>
          <w:iCs/>
        </w:rPr>
        <w:lastRenderedPageBreak/>
        <w:t>Margate Charter Trustees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Adopted:</w:t>
      </w:r>
      <w:r w:rsidR="00CF1026">
        <w:rPr>
          <w:i/>
          <w:iCs/>
        </w:rPr>
        <w:t xml:space="preserve"> </w:t>
      </w:r>
      <w:r w:rsidR="00CF1026">
        <w:t xml:space="preserve"> 30</w:t>
      </w:r>
      <w:r w:rsidR="00CF1026" w:rsidRPr="00CF1026">
        <w:rPr>
          <w:vertAlign w:val="superscript"/>
        </w:rPr>
        <w:t>th</w:t>
      </w:r>
      <w:r w:rsidR="00CF1026">
        <w:t xml:space="preserve"> November 2020</w:t>
      </w:r>
    </w:p>
    <w:p w14:paraId="6B4962E5" w14:textId="77777777" w:rsidR="00BC238F" w:rsidRDefault="00BC238F" w:rsidP="00BC238F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>Investment Policy 2020/21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Version 1</w:t>
      </w:r>
    </w:p>
    <w:p w14:paraId="7963DE6E" w14:textId="77777777" w:rsidR="00BC238F" w:rsidRDefault="00BC238F" w:rsidP="00BC238F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27851246" w14:textId="20E19520" w:rsidR="0042138C" w:rsidRDefault="0042138C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 </w:t>
      </w:r>
      <w:r>
        <w:rPr>
          <w:rFonts w:ascii="Arial" w:hAnsi="Arial" w:cs="Arial"/>
          <w:sz w:val="28"/>
          <w:szCs w:val="28"/>
        </w:rPr>
        <w:tab/>
        <w:t>The Margate Charter Trustees will ensure that the Responsible Finance Officer</w:t>
      </w:r>
      <w:r w:rsidR="00E7316D">
        <w:rPr>
          <w:rFonts w:ascii="Arial" w:hAnsi="Arial" w:cs="Arial"/>
          <w:sz w:val="28"/>
          <w:szCs w:val="28"/>
        </w:rPr>
        <w:t xml:space="preserve"> have sufficient training to underpin their responsibility to scrutinise</w:t>
      </w:r>
      <w:r w:rsidR="008B477F">
        <w:rPr>
          <w:rFonts w:ascii="Arial" w:hAnsi="Arial" w:cs="Arial"/>
          <w:sz w:val="28"/>
          <w:szCs w:val="28"/>
        </w:rPr>
        <w:t xml:space="preserve"> the treasury management function.</w:t>
      </w:r>
    </w:p>
    <w:p w14:paraId="4ADB03BE" w14:textId="4F2B613F" w:rsidR="008B477F" w:rsidRDefault="008B477F" w:rsidP="00D71093">
      <w:pPr>
        <w:ind w:left="720" w:hanging="720"/>
        <w:rPr>
          <w:rFonts w:ascii="Arial" w:hAnsi="Arial" w:cs="Arial"/>
          <w:sz w:val="28"/>
          <w:szCs w:val="28"/>
        </w:rPr>
      </w:pPr>
    </w:p>
    <w:p w14:paraId="4E3E83D4" w14:textId="27D3F923" w:rsidR="008B477F" w:rsidRDefault="008B477F" w:rsidP="008B47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8.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364EC">
        <w:rPr>
          <w:rFonts w:ascii="Arial" w:hAnsi="Arial" w:cs="Arial"/>
          <w:b/>
          <w:bCs/>
          <w:sz w:val="28"/>
          <w:szCs w:val="28"/>
        </w:rPr>
        <w:t>Review and Amendment of Regulations</w:t>
      </w:r>
    </w:p>
    <w:p w14:paraId="0A096A91" w14:textId="3A60E0F8" w:rsidR="004364EC" w:rsidRDefault="004364EC" w:rsidP="00457AC7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</w:t>
      </w:r>
      <w:r>
        <w:rPr>
          <w:rFonts w:ascii="Arial" w:hAnsi="Arial" w:cs="Arial"/>
          <w:sz w:val="28"/>
          <w:szCs w:val="28"/>
        </w:rPr>
        <w:tab/>
      </w:r>
      <w:r w:rsidR="00457AC7">
        <w:rPr>
          <w:rFonts w:ascii="Arial" w:hAnsi="Arial" w:cs="Arial"/>
          <w:sz w:val="28"/>
          <w:szCs w:val="28"/>
        </w:rPr>
        <w:t>This policy will be reviewed annually for the coming financial year, will be prepared by the RFO and presented for approval by the Margate Charter Trustees</w:t>
      </w:r>
      <w:r w:rsidR="00820FBB">
        <w:rPr>
          <w:rFonts w:ascii="Arial" w:hAnsi="Arial" w:cs="Arial"/>
          <w:sz w:val="28"/>
          <w:szCs w:val="28"/>
        </w:rPr>
        <w:t>.</w:t>
      </w:r>
    </w:p>
    <w:p w14:paraId="31A353F9" w14:textId="026CD670" w:rsidR="00820FBB" w:rsidRDefault="00820FBB" w:rsidP="00457AC7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8.2</w:t>
      </w:r>
      <w:r>
        <w:rPr>
          <w:rFonts w:ascii="Arial" w:hAnsi="Arial" w:cs="Arial"/>
          <w:sz w:val="28"/>
          <w:szCs w:val="28"/>
        </w:rPr>
        <w:tab/>
        <w:t>The Margate Charter Trustees reserves the right to make variations to this policy at an</w:t>
      </w:r>
      <w:r w:rsidR="00797650">
        <w:rPr>
          <w:rFonts w:ascii="Arial" w:hAnsi="Arial" w:cs="Arial"/>
          <w:sz w:val="28"/>
          <w:szCs w:val="28"/>
        </w:rPr>
        <w:t>y time. Any variations will be made available to the public.</w:t>
      </w:r>
    </w:p>
    <w:p w14:paraId="6F49DF6D" w14:textId="77777777" w:rsidR="004364EC" w:rsidRDefault="004364EC" w:rsidP="008B477F">
      <w:pPr>
        <w:rPr>
          <w:rFonts w:ascii="Arial" w:hAnsi="Arial" w:cs="Arial"/>
          <w:sz w:val="28"/>
          <w:szCs w:val="28"/>
        </w:rPr>
      </w:pPr>
    </w:p>
    <w:p w14:paraId="10824682" w14:textId="77777777" w:rsidR="004364EC" w:rsidRPr="004364EC" w:rsidRDefault="004364EC" w:rsidP="008B477F">
      <w:pPr>
        <w:rPr>
          <w:rFonts w:ascii="Arial" w:hAnsi="Arial" w:cs="Arial"/>
          <w:sz w:val="28"/>
          <w:szCs w:val="28"/>
        </w:rPr>
      </w:pPr>
    </w:p>
    <w:p w14:paraId="132A1962" w14:textId="23C29E68" w:rsidR="00805F95" w:rsidRDefault="00805F95" w:rsidP="00D71093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1E2ECB02" w14:textId="77777777" w:rsidR="00805F95" w:rsidRDefault="00805F95" w:rsidP="00D71093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40BD2BDF" w14:textId="3363FEB2" w:rsidR="00D71093" w:rsidRPr="002F14BC" w:rsidRDefault="00D71093" w:rsidP="00D7109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D71093" w:rsidRPr="002F1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E8A43" w14:textId="77777777" w:rsidR="00E477D7" w:rsidRDefault="00E477D7" w:rsidP="00E477D7">
      <w:pPr>
        <w:spacing w:after="0" w:line="240" w:lineRule="auto"/>
      </w:pPr>
      <w:r>
        <w:separator/>
      </w:r>
    </w:p>
  </w:endnote>
  <w:endnote w:type="continuationSeparator" w:id="0">
    <w:p w14:paraId="4EF9F0A3" w14:textId="77777777" w:rsidR="00E477D7" w:rsidRDefault="00E477D7" w:rsidP="00E4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EC13" w14:textId="77777777" w:rsidR="00E477D7" w:rsidRDefault="00E47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B195" w14:textId="77777777" w:rsidR="00E477D7" w:rsidRDefault="00E47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36684" w14:textId="77777777" w:rsidR="00E477D7" w:rsidRDefault="00E47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877E5" w14:textId="77777777" w:rsidR="00E477D7" w:rsidRDefault="00E477D7" w:rsidP="00E477D7">
      <w:pPr>
        <w:spacing w:after="0" w:line="240" w:lineRule="auto"/>
      </w:pPr>
      <w:r>
        <w:separator/>
      </w:r>
    </w:p>
  </w:footnote>
  <w:footnote w:type="continuationSeparator" w:id="0">
    <w:p w14:paraId="7318F34D" w14:textId="77777777" w:rsidR="00E477D7" w:rsidRDefault="00E477D7" w:rsidP="00E4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3D9D" w14:textId="77777777" w:rsidR="00E477D7" w:rsidRDefault="00E47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3BA7" w14:textId="1D2B7A88" w:rsidR="00E477D7" w:rsidRDefault="00E47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5E0F7" w14:textId="77777777" w:rsidR="00E477D7" w:rsidRDefault="00E47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65E"/>
    <w:multiLevelType w:val="hybridMultilevel"/>
    <w:tmpl w:val="EFD69E2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7F2079"/>
    <w:multiLevelType w:val="hybridMultilevel"/>
    <w:tmpl w:val="EBB062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F2227D"/>
    <w:multiLevelType w:val="hybridMultilevel"/>
    <w:tmpl w:val="ABC64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A40F1"/>
    <w:multiLevelType w:val="hybridMultilevel"/>
    <w:tmpl w:val="09322D18"/>
    <w:lvl w:ilvl="0" w:tplc="0809000F">
      <w:start w:val="1"/>
      <w:numFmt w:val="decimal"/>
      <w:lvlText w:val="%1."/>
      <w:lvlJc w:val="left"/>
      <w:pPr>
        <w:ind w:left="44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03" w:hanging="360"/>
      </w:pPr>
    </w:lvl>
    <w:lvl w:ilvl="2" w:tplc="0809001B" w:tentative="1">
      <w:start w:val="1"/>
      <w:numFmt w:val="lowerRoman"/>
      <w:lvlText w:val="%3."/>
      <w:lvlJc w:val="right"/>
      <w:pPr>
        <w:ind w:left="5923" w:hanging="180"/>
      </w:pPr>
    </w:lvl>
    <w:lvl w:ilvl="3" w:tplc="0809000F" w:tentative="1">
      <w:start w:val="1"/>
      <w:numFmt w:val="decimal"/>
      <w:lvlText w:val="%4."/>
      <w:lvlJc w:val="left"/>
      <w:pPr>
        <w:ind w:left="6643" w:hanging="360"/>
      </w:pPr>
    </w:lvl>
    <w:lvl w:ilvl="4" w:tplc="08090019" w:tentative="1">
      <w:start w:val="1"/>
      <w:numFmt w:val="lowerLetter"/>
      <w:lvlText w:val="%5."/>
      <w:lvlJc w:val="left"/>
      <w:pPr>
        <w:ind w:left="7363" w:hanging="360"/>
      </w:pPr>
    </w:lvl>
    <w:lvl w:ilvl="5" w:tplc="0809001B" w:tentative="1">
      <w:start w:val="1"/>
      <w:numFmt w:val="lowerRoman"/>
      <w:lvlText w:val="%6."/>
      <w:lvlJc w:val="right"/>
      <w:pPr>
        <w:ind w:left="8083" w:hanging="180"/>
      </w:pPr>
    </w:lvl>
    <w:lvl w:ilvl="6" w:tplc="0809000F" w:tentative="1">
      <w:start w:val="1"/>
      <w:numFmt w:val="decimal"/>
      <w:lvlText w:val="%7."/>
      <w:lvlJc w:val="left"/>
      <w:pPr>
        <w:ind w:left="8803" w:hanging="360"/>
      </w:pPr>
    </w:lvl>
    <w:lvl w:ilvl="7" w:tplc="08090019" w:tentative="1">
      <w:start w:val="1"/>
      <w:numFmt w:val="lowerLetter"/>
      <w:lvlText w:val="%8."/>
      <w:lvlJc w:val="left"/>
      <w:pPr>
        <w:ind w:left="9523" w:hanging="360"/>
      </w:pPr>
    </w:lvl>
    <w:lvl w:ilvl="8" w:tplc="0809001B" w:tentative="1">
      <w:start w:val="1"/>
      <w:numFmt w:val="lowerRoman"/>
      <w:lvlText w:val="%9."/>
      <w:lvlJc w:val="right"/>
      <w:pPr>
        <w:ind w:left="1024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1"/>
    <w:rsid w:val="00026F24"/>
    <w:rsid w:val="000B2C7D"/>
    <w:rsid w:val="000B5B5D"/>
    <w:rsid w:val="000E0783"/>
    <w:rsid w:val="00131AB2"/>
    <w:rsid w:val="00150A41"/>
    <w:rsid w:val="00150B6C"/>
    <w:rsid w:val="001C6175"/>
    <w:rsid w:val="001D0093"/>
    <w:rsid w:val="001E3F8A"/>
    <w:rsid w:val="00200868"/>
    <w:rsid w:val="00230F8F"/>
    <w:rsid w:val="002873F2"/>
    <w:rsid w:val="002E0538"/>
    <w:rsid w:val="002F14BC"/>
    <w:rsid w:val="00336836"/>
    <w:rsid w:val="00340F8A"/>
    <w:rsid w:val="003D1BBA"/>
    <w:rsid w:val="0042138C"/>
    <w:rsid w:val="004353A0"/>
    <w:rsid w:val="004364EC"/>
    <w:rsid w:val="00446C32"/>
    <w:rsid w:val="00457AC7"/>
    <w:rsid w:val="00476079"/>
    <w:rsid w:val="00480CAC"/>
    <w:rsid w:val="00484146"/>
    <w:rsid w:val="00495CDE"/>
    <w:rsid w:val="004D1BD0"/>
    <w:rsid w:val="00516E77"/>
    <w:rsid w:val="0052646C"/>
    <w:rsid w:val="00530140"/>
    <w:rsid w:val="00533A21"/>
    <w:rsid w:val="0056045E"/>
    <w:rsid w:val="005617F6"/>
    <w:rsid w:val="00573C73"/>
    <w:rsid w:val="005D7B08"/>
    <w:rsid w:val="0062115B"/>
    <w:rsid w:val="006605D9"/>
    <w:rsid w:val="006A0ACF"/>
    <w:rsid w:val="006D4214"/>
    <w:rsid w:val="007108CC"/>
    <w:rsid w:val="00767232"/>
    <w:rsid w:val="00790851"/>
    <w:rsid w:val="00795CA1"/>
    <w:rsid w:val="00797650"/>
    <w:rsid w:val="00805F95"/>
    <w:rsid w:val="00820FBB"/>
    <w:rsid w:val="00824394"/>
    <w:rsid w:val="00853DE5"/>
    <w:rsid w:val="00865334"/>
    <w:rsid w:val="00870159"/>
    <w:rsid w:val="008B477F"/>
    <w:rsid w:val="0092684D"/>
    <w:rsid w:val="009B422D"/>
    <w:rsid w:val="009E7A9A"/>
    <w:rsid w:val="00A71F52"/>
    <w:rsid w:val="00A87864"/>
    <w:rsid w:val="00B6456D"/>
    <w:rsid w:val="00BC238F"/>
    <w:rsid w:val="00C824EC"/>
    <w:rsid w:val="00C959C2"/>
    <w:rsid w:val="00CF01DE"/>
    <w:rsid w:val="00CF1026"/>
    <w:rsid w:val="00D258A5"/>
    <w:rsid w:val="00D3719A"/>
    <w:rsid w:val="00D4792E"/>
    <w:rsid w:val="00D71093"/>
    <w:rsid w:val="00DA1C44"/>
    <w:rsid w:val="00E005DC"/>
    <w:rsid w:val="00E32029"/>
    <w:rsid w:val="00E35628"/>
    <w:rsid w:val="00E477D7"/>
    <w:rsid w:val="00E51029"/>
    <w:rsid w:val="00E55B8A"/>
    <w:rsid w:val="00E7316D"/>
    <w:rsid w:val="00E75118"/>
    <w:rsid w:val="00EB1C72"/>
    <w:rsid w:val="00F02F96"/>
    <w:rsid w:val="00F274AA"/>
    <w:rsid w:val="00F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6D26C6"/>
  <w15:chartTrackingRefBased/>
  <w15:docId w15:val="{6B7E9F0D-F6BF-40A3-A94A-7991ECE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51"/>
    <w:pPr>
      <w:ind w:left="720"/>
      <w:contextualSpacing/>
    </w:pPr>
  </w:style>
  <w:style w:type="table" w:styleId="TableGrid">
    <w:name w:val="Table Grid"/>
    <w:basedOn w:val="TableNormal"/>
    <w:uiPriority w:val="39"/>
    <w:rsid w:val="007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D7"/>
  </w:style>
  <w:style w:type="paragraph" w:styleId="Footer">
    <w:name w:val="footer"/>
    <w:basedOn w:val="Normal"/>
    <w:link w:val="FooterChar"/>
    <w:uiPriority w:val="99"/>
    <w:unhideWhenUsed/>
    <w:rsid w:val="00E4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4</cp:revision>
  <dcterms:created xsi:type="dcterms:W3CDTF">2020-10-27T05:23:00Z</dcterms:created>
  <dcterms:modified xsi:type="dcterms:W3CDTF">2020-12-02T11:38:00Z</dcterms:modified>
</cp:coreProperties>
</file>